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C3CBE" w14:textId="2F46FD8C" w:rsidR="00744D67" w:rsidRPr="00744D67" w:rsidRDefault="00744D67" w:rsidP="00744D67">
      <w:pPr>
        <w:jc w:val="center"/>
        <w:rPr>
          <w:rFonts w:ascii="Garamond" w:hAnsi="Garamond"/>
          <w:b/>
          <w:bCs/>
          <w:smallCaps/>
          <w:lang w:val="en-AU"/>
        </w:rPr>
      </w:pPr>
      <w:r w:rsidRPr="00744D67">
        <w:rPr>
          <w:rFonts w:ascii="Garamond" w:hAnsi="Garamond"/>
          <w:b/>
          <w:bCs/>
          <w:smallCaps/>
          <w:lang w:val="en-AU"/>
        </w:rPr>
        <w:t>Discharge of the Insolvent Debtor, Bad Faith, and Perverse Incentives</w:t>
      </w:r>
    </w:p>
    <w:p w14:paraId="62CD4E2F" w14:textId="40DEB897" w:rsidR="00744D67" w:rsidRPr="00744D67" w:rsidRDefault="00744D67" w:rsidP="00744D67">
      <w:pPr>
        <w:ind w:left="6372"/>
        <w:rPr>
          <w:rFonts w:ascii="Garamond" w:hAnsi="Garamond"/>
          <w:lang w:val="en-AU"/>
        </w:rPr>
      </w:pPr>
      <w:r w:rsidRPr="00744D67">
        <w:rPr>
          <w:rFonts w:ascii="Garamond" w:hAnsi="Garamond"/>
          <w:lang w:val="en-AU"/>
        </w:rPr>
        <w:br/>
      </w:r>
      <w:r w:rsidRPr="00744D67">
        <w:rPr>
          <w:rFonts w:ascii="Garamond" w:hAnsi="Garamond"/>
          <w:i/>
          <w:iCs/>
          <w:lang w:val="en-AU"/>
        </w:rPr>
        <w:t xml:space="preserve">Luis Manuel C. </w:t>
      </w:r>
      <w:proofErr w:type="spellStart"/>
      <w:r w:rsidRPr="00744D67">
        <w:rPr>
          <w:rFonts w:ascii="Garamond" w:hAnsi="Garamond"/>
          <w:i/>
          <w:iCs/>
          <w:lang w:val="en-AU"/>
        </w:rPr>
        <w:t>Méjan</w:t>
      </w:r>
      <w:proofErr w:type="spellEnd"/>
    </w:p>
    <w:p w14:paraId="28EB12BF" w14:textId="314E8614" w:rsidR="00DE555F" w:rsidRDefault="008357AA" w:rsidP="00F146AC">
      <w:pPr>
        <w:spacing w:line="360" w:lineRule="auto"/>
        <w:rPr>
          <w:rFonts w:ascii="Garamond" w:hAnsi="Garamond"/>
          <w:b/>
          <w:bCs/>
          <w:lang w:val="en-AU"/>
        </w:rPr>
      </w:pPr>
      <w:r>
        <w:rPr>
          <w:rFonts w:ascii="Garamond" w:hAnsi="Garamond"/>
          <w:b/>
          <w:bCs/>
          <w:lang w:val="en-AU"/>
        </w:rPr>
        <w:t xml:space="preserve">I. </w:t>
      </w:r>
      <w:r w:rsidR="00744D67" w:rsidRPr="00DE555F">
        <w:rPr>
          <w:rFonts w:ascii="Garamond" w:hAnsi="Garamond"/>
          <w:b/>
          <w:bCs/>
          <w:lang w:val="en-AU"/>
        </w:rPr>
        <w:t>The Concept of Discharge</w:t>
      </w:r>
    </w:p>
    <w:p w14:paraId="422C5C79" w14:textId="77777777" w:rsidR="00EE0F44" w:rsidRDefault="00296953" w:rsidP="00EE0F44">
      <w:pPr>
        <w:spacing w:line="360" w:lineRule="auto"/>
        <w:jc w:val="both"/>
        <w:rPr>
          <w:rFonts w:ascii="Garamond" w:hAnsi="Garamond"/>
          <w:lang w:val="en-AU"/>
        </w:rPr>
      </w:pPr>
      <w:r w:rsidRPr="00296953">
        <w:rPr>
          <w:rFonts w:ascii="Garamond" w:hAnsi="Garamond"/>
          <w:lang w:val="en-AU"/>
        </w:rPr>
        <w:t>The focus of this Newsletter is to compare the approaches taken by different jurisdictions regarding the limits of debt discharge, also known as “exoneration” or, more commonly in international contexts, by its English term “discharge.”</w:t>
      </w:r>
    </w:p>
    <w:p w14:paraId="33693C2B" w14:textId="77777777" w:rsidR="00EE0F44" w:rsidRDefault="00296953" w:rsidP="00EE0F44">
      <w:pPr>
        <w:spacing w:line="360" w:lineRule="auto"/>
        <w:ind w:firstLine="708"/>
        <w:jc w:val="both"/>
        <w:rPr>
          <w:rFonts w:ascii="Garamond" w:hAnsi="Garamond"/>
          <w:lang w:val="en-AU"/>
        </w:rPr>
      </w:pPr>
      <w:r w:rsidRPr="00296953">
        <w:rPr>
          <w:rFonts w:ascii="Garamond" w:hAnsi="Garamond"/>
          <w:lang w:val="en-AU"/>
        </w:rPr>
        <w:t>This practice fundamentally corresponds to what the General Theory of Obligations describes as: “Forgiveness” or “Remission” (when the creditor informs the debtor that they are released from the duty to fulfill their obligation); “Waiver of the exercise of a right” (when the creditor allows deadlines for enforcement or prescription to lapse without acting); or “Novation” (when creditor and debtor jointly agree to terminate a legal obligation and replace it with a new one)</w:t>
      </w:r>
      <w:r w:rsidR="00EE0F44">
        <w:rPr>
          <w:rFonts w:ascii="Garamond" w:hAnsi="Garamond"/>
          <w:lang w:val="en-AU"/>
        </w:rPr>
        <w:t>.</w:t>
      </w:r>
    </w:p>
    <w:p w14:paraId="21332C45" w14:textId="77777777" w:rsidR="00EE0F44" w:rsidRDefault="00296953" w:rsidP="00EE0F44">
      <w:pPr>
        <w:spacing w:line="360" w:lineRule="auto"/>
        <w:ind w:firstLine="708"/>
        <w:jc w:val="both"/>
        <w:rPr>
          <w:rFonts w:ascii="Garamond" w:hAnsi="Garamond"/>
          <w:lang w:val="en-AU"/>
        </w:rPr>
      </w:pPr>
      <w:r w:rsidRPr="00296953">
        <w:rPr>
          <w:rFonts w:ascii="Garamond" w:hAnsi="Garamond"/>
          <w:lang w:val="en-AU"/>
        </w:rPr>
        <w:t xml:space="preserve">The figure of discharge usually appears at the conclusion of an insolvency proceeding, when a restructuring agreement has been reached that creates a new framework of rights and obligations between the debtor and their creditors. This is more accurately described as a reorganization of the debtor’s financial situation, and the legal characterization is novation—some obligations are extinguished and replaced by others. </w:t>
      </w:r>
      <w:r>
        <w:rPr>
          <w:rFonts w:ascii="Garamond" w:hAnsi="Garamond"/>
          <w:lang w:val="en-AU"/>
        </w:rPr>
        <w:t xml:space="preserve">  </w:t>
      </w:r>
      <w:r w:rsidRPr="00296953">
        <w:rPr>
          <w:rFonts w:ascii="Garamond" w:hAnsi="Garamond"/>
          <w:lang w:val="en-AU"/>
        </w:rPr>
        <w:t xml:space="preserve">This model is typical of over-indebtedness in commercial entities seeking to remain economically active as </w:t>
      </w:r>
      <w:proofErr w:type="spellStart"/>
      <w:r w:rsidRPr="00296953">
        <w:rPr>
          <w:rFonts w:ascii="Garamond" w:hAnsi="Garamond"/>
          <w:lang w:val="en-AU"/>
        </w:rPr>
        <w:t>contributingagents</w:t>
      </w:r>
      <w:proofErr w:type="spellEnd"/>
      <w:r w:rsidRPr="00296953">
        <w:rPr>
          <w:rFonts w:ascii="Garamond" w:hAnsi="Garamond"/>
          <w:lang w:val="en-AU"/>
        </w:rPr>
        <w:t>.</w:t>
      </w:r>
    </w:p>
    <w:p w14:paraId="49CA3D2E" w14:textId="77777777" w:rsidR="00EE0F44" w:rsidRDefault="00296953" w:rsidP="00EE0F44">
      <w:pPr>
        <w:spacing w:line="360" w:lineRule="auto"/>
        <w:ind w:firstLine="708"/>
        <w:jc w:val="both"/>
        <w:rPr>
          <w:rFonts w:ascii="Garamond" w:hAnsi="Garamond"/>
          <w:lang w:val="en-AU"/>
        </w:rPr>
      </w:pPr>
      <w:r w:rsidRPr="00296953">
        <w:rPr>
          <w:rFonts w:ascii="Garamond" w:hAnsi="Garamond"/>
          <w:lang w:val="en-AU"/>
        </w:rPr>
        <w:t>When it comes to natural persons, who are not typically engaged in business or commercial activities, the focus is different. A natural person can never be removed from the economy; they cannot be "liquidated" and “terminated”—their assets may be seized and disposed of, but they must continue to generate wealth, as they need it for their survival.</w:t>
      </w:r>
      <w:r w:rsidRPr="00296953">
        <w:rPr>
          <w:rFonts w:ascii="Garamond" w:hAnsi="Garamond"/>
          <w:lang w:val="en-AU"/>
        </w:rPr>
        <w:br/>
      </w:r>
      <w:r>
        <w:rPr>
          <w:rFonts w:ascii="Garamond" w:hAnsi="Garamond"/>
          <w:lang w:val="en-AU"/>
        </w:rPr>
        <w:t xml:space="preserve"> </w:t>
      </w:r>
      <w:r w:rsidRPr="00296953">
        <w:rPr>
          <w:rFonts w:ascii="Garamond" w:hAnsi="Garamond"/>
          <w:lang w:val="en-AU"/>
        </w:rPr>
        <w:t>In cases of generalized over-indebtedness, creditors will take hold of the debtor's assets (excluding certain items specially protected by law for humanitarian reasons), convert them into cash, and use the proceeds to satisfy debts—according to their rank and preference as set out in law.</w:t>
      </w:r>
      <w:r w:rsidR="00EE0F44">
        <w:rPr>
          <w:rFonts w:ascii="Garamond" w:hAnsi="Garamond"/>
          <w:lang w:val="en-AU"/>
        </w:rPr>
        <w:t xml:space="preserve"> </w:t>
      </w:r>
    </w:p>
    <w:p w14:paraId="397C187F" w14:textId="77777777" w:rsidR="00EE0F44" w:rsidRDefault="00296953" w:rsidP="00EE0F44">
      <w:pPr>
        <w:spacing w:line="360" w:lineRule="auto"/>
        <w:ind w:firstLine="708"/>
        <w:jc w:val="both"/>
        <w:rPr>
          <w:rFonts w:ascii="Garamond" w:hAnsi="Garamond"/>
          <w:lang w:val="en-AU"/>
        </w:rPr>
      </w:pPr>
      <w:r w:rsidRPr="00296953">
        <w:rPr>
          <w:rFonts w:ascii="Garamond" w:hAnsi="Garamond"/>
          <w:lang w:val="en-AU"/>
        </w:rPr>
        <w:t>What happens when the debtor’s assets are insufficient to cover their total debts? Creditors will look at the debtor’s future economic activity and estimate the income that might be received, aiming to allocate a portion of that income to gradually pay the outstanding debts as they arise.</w:t>
      </w:r>
      <w:r w:rsidRPr="00296953">
        <w:rPr>
          <w:rFonts w:ascii="Garamond" w:hAnsi="Garamond"/>
          <w:lang w:val="en-AU"/>
        </w:rPr>
        <w:br/>
      </w:r>
      <w:r w:rsidR="001B1512">
        <w:rPr>
          <w:rFonts w:ascii="Garamond" w:hAnsi="Garamond"/>
          <w:lang w:val="en-AU"/>
        </w:rPr>
        <w:lastRenderedPageBreak/>
        <w:t xml:space="preserve"> </w:t>
      </w:r>
      <w:r w:rsidR="00EE0F44">
        <w:rPr>
          <w:rFonts w:ascii="Garamond" w:hAnsi="Garamond"/>
          <w:lang w:val="en-AU"/>
        </w:rPr>
        <w:tab/>
      </w:r>
      <w:r w:rsidRPr="00296953">
        <w:rPr>
          <w:rFonts w:ascii="Garamond" w:hAnsi="Garamond"/>
          <w:lang w:val="en-AU"/>
        </w:rPr>
        <w:t>Financially, the concept is valid: it’s about locating a repayment source and reorganizing the obligation through write-downs, grace periods, interest reductions, etc., to make the obligation feasible.</w:t>
      </w:r>
    </w:p>
    <w:p w14:paraId="3FFE8FAC" w14:textId="71392CE4" w:rsidR="00EE0F44" w:rsidRDefault="00296953" w:rsidP="00EE0F44">
      <w:pPr>
        <w:spacing w:line="360" w:lineRule="auto"/>
        <w:ind w:firstLine="708"/>
        <w:jc w:val="both"/>
        <w:rPr>
          <w:rFonts w:ascii="Garamond" w:hAnsi="Garamond"/>
          <w:lang w:val="en-AU"/>
        </w:rPr>
      </w:pPr>
      <w:r w:rsidRPr="00296953">
        <w:rPr>
          <w:rFonts w:ascii="Garamond" w:hAnsi="Garamond"/>
          <w:lang w:val="en-AU"/>
        </w:rPr>
        <w:t>However, when the expected income is too low to cover both the debtor’s (and likely their family's) basic needs and the outstanding debts, the repayment plan becomes an unbearable burden. It also removes the natural human incentive to work in pursuit of satisfaction and progress.</w:t>
      </w:r>
      <w:r w:rsidR="001360D4">
        <w:rPr>
          <w:rStyle w:val="Refdenotaalpie"/>
          <w:rFonts w:ascii="Garamond" w:hAnsi="Garamond"/>
          <w:lang w:val="en-AU"/>
        </w:rPr>
        <w:footnoteReference w:id="1"/>
      </w:r>
      <w:r w:rsidRPr="00296953">
        <w:rPr>
          <w:rFonts w:ascii="Garamond" w:hAnsi="Garamond"/>
          <w:lang w:val="en-AU"/>
        </w:rPr>
        <w:br/>
      </w:r>
      <w:r w:rsidR="00EE0F44">
        <w:rPr>
          <w:rFonts w:ascii="Garamond" w:hAnsi="Garamond"/>
          <w:lang w:val="en-AU"/>
        </w:rPr>
        <w:t xml:space="preserve"> </w:t>
      </w:r>
      <w:r w:rsidR="00EE0F44">
        <w:rPr>
          <w:rFonts w:ascii="Garamond" w:hAnsi="Garamond"/>
          <w:lang w:val="en-AU"/>
        </w:rPr>
        <w:tab/>
      </w:r>
      <w:r w:rsidRPr="00296953">
        <w:rPr>
          <w:rFonts w:ascii="Garamond" w:hAnsi="Garamond"/>
          <w:lang w:val="en-AU"/>
        </w:rPr>
        <w:t>This logic introduces the concept of discharge, often referred to as a “Fresh Start” or “Clean Slate,” which is appealing to those facing financial crisis. It allows for the reintegration of an individual into economic life, even though it may represent a loss or nullification of rights for the creditors.</w:t>
      </w:r>
      <w:r w:rsidR="00947C30">
        <w:rPr>
          <w:rStyle w:val="Refdenotaalpie"/>
          <w:rFonts w:ascii="Garamond" w:hAnsi="Garamond"/>
          <w:lang w:val="en-AU"/>
        </w:rPr>
        <w:footnoteReference w:id="2"/>
      </w:r>
    </w:p>
    <w:p w14:paraId="1ED2B9A5" w14:textId="7C2F5C8D" w:rsidR="00296953" w:rsidRPr="00296953" w:rsidRDefault="00296953" w:rsidP="00EE0F44">
      <w:pPr>
        <w:spacing w:line="360" w:lineRule="auto"/>
        <w:jc w:val="both"/>
        <w:rPr>
          <w:rFonts w:ascii="Garamond" w:hAnsi="Garamond"/>
          <w:lang w:val="en-AU"/>
        </w:rPr>
      </w:pPr>
      <w:r w:rsidRPr="00296953">
        <w:rPr>
          <w:rFonts w:ascii="Garamond" w:hAnsi="Garamond"/>
          <w:lang w:val="en-AU"/>
        </w:rPr>
        <w:t>This presents a dilemma of justice and human rights—one that insolvency legislation must address.</w:t>
      </w:r>
      <w:r w:rsidRPr="00296953">
        <w:rPr>
          <w:rFonts w:ascii="Garamond" w:hAnsi="Garamond"/>
          <w:lang w:val="en-AU"/>
        </w:rPr>
        <w:br/>
      </w:r>
      <w:r w:rsidR="00BB39B9">
        <w:rPr>
          <w:rFonts w:ascii="Garamond" w:hAnsi="Garamond"/>
          <w:lang w:val="en-AU"/>
        </w:rPr>
        <w:t xml:space="preserve"> </w:t>
      </w:r>
      <w:r w:rsidR="00EE0F44">
        <w:rPr>
          <w:rFonts w:ascii="Garamond" w:hAnsi="Garamond"/>
          <w:lang w:val="en-AU"/>
        </w:rPr>
        <w:tab/>
      </w:r>
      <w:r w:rsidRPr="00296953">
        <w:rPr>
          <w:rFonts w:ascii="Garamond" w:hAnsi="Garamond"/>
          <w:lang w:val="en-AU"/>
        </w:rPr>
        <w:t xml:space="preserve">One path is to establish that what is paid does not extinguish the creditor's right, leaving the debt alive in case the debtor acquires new assets in the future, allowing the creditor to enforce their rights—provided prescription or forfeiture periods have not elapsed. Even in such cases, the debts might become </w:t>
      </w:r>
      <w:r w:rsidRPr="00296953">
        <w:rPr>
          <w:rFonts w:ascii="Garamond" w:hAnsi="Garamond"/>
          <w:i/>
          <w:iCs/>
          <w:lang w:val="en-AU"/>
        </w:rPr>
        <w:t>natural obligations</w:t>
      </w:r>
      <w:r w:rsidRPr="00296953">
        <w:rPr>
          <w:rFonts w:ascii="Garamond" w:hAnsi="Garamond"/>
          <w:lang w:val="en-AU"/>
        </w:rPr>
        <w:t xml:space="preserve"> (those that are no longer legally enforceable but whose payment is considered valid).</w:t>
      </w:r>
      <w:r w:rsidRPr="00296953">
        <w:rPr>
          <w:rFonts w:ascii="Garamond" w:hAnsi="Garamond"/>
          <w:lang w:val="en-AU"/>
        </w:rPr>
        <w:br/>
      </w:r>
      <w:r w:rsidR="00BB39B9">
        <w:rPr>
          <w:rFonts w:ascii="Garamond" w:hAnsi="Garamond"/>
          <w:lang w:val="en-AU"/>
        </w:rPr>
        <w:t xml:space="preserve"> </w:t>
      </w:r>
      <w:r w:rsidR="00EE0F44">
        <w:rPr>
          <w:rFonts w:ascii="Garamond" w:hAnsi="Garamond"/>
          <w:lang w:val="en-AU"/>
        </w:rPr>
        <w:tab/>
      </w:r>
      <w:r w:rsidRPr="00296953">
        <w:rPr>
          <w:rFonts w:ascii="Garamond" w:hAnsi="Garamond"/>
          <w:lang w:val="en-AU"/>
        </w:rPr>
        <w:t xml:space="preserve">Another path is to regulate the extinction of the obligation through the granting of a discharge—whether full, partial, or conditional. Within this framework, there will always be debts excluded from discharge (e.g., tax or </w:t>
      </w:r>
      <w:proofErr w:type="spellStart"/>
      <w:r w:rsidRPr="00296953">
        <w:rPr>
          <w:rFonts w:ascii="Garamond" w:hAnsi="Garamond"/>
          <w:lang w:val="en-AU"/>
        </w:rPr>
        <w:t>labor</w:t>
      </w:r>
      <w:proofErr w:type="spellEnd"/>
      <w:r w:rsidRPr="00296953">
        <w:rPr>
          <w:rFonts w:ascii="Garamond" w:hAnsi="Garamond"/>
          <w:lang w:val="en-AU"/>
        </w:rPr>
        <w:t xml:space="preserve"> debts).</w:t>
      </w:r>
      <w:r w:rsidRPr="00296953">
        <w:rPr>
          <w:rFonts w:ascii="Garamond" w:hAnsi="Garamond"/>
          <w:lang w:val="en-AU"/>
        </w:rPr>
        <w:br/>
        <w:t>Recently, the Fifth Circuit of the U.S. Bankruptcy Courts ruled:</w:t>
      </w:r>
    </w:p>
    <w:p w14:paraId="1528A112" w14:textId="08DDDC39" w:rsidR="00296953" w:rsidRPr="00296953" w:rsidRDefault="00296953" w:rsidP="00F146AC">
      <w:pPr>
        <w:spacing w:line="360" w:lineRule="auto"/>
        <w:rPr>
          <w:rFonts w:ascii="Garamond" w:hAnsi="Garamond"/>
          <w:i/>
          <w:iCs/>
          <w:lang w:val="en-AU"/>
        </w:rPr>
      </w:pPr>
      <w:r w:rsidRPr="00296953">
        <w:rPr>
          <w:rFonts w:ascii="Garamond" w:hAnsi="Garamond"/>
          <w:i/>
          <w:iCs/>
          <w:lang w:val="en-AU"/>
        </w:rPr>
        <w:t xml:space="preserve">“Discharging and extinguishing claims are different. Discharge does not extinguish a debt. Indeed, a debt survives discharge. A discharged debt can be revived by reaffirmance, and discharge gives rise to an affirmative </w:t>
      </w:r>
      <w:proofErr w:type="spellStart"/>
      <w:r w:rsidRPr="00296953">
        <w:rPr>
          <w:rFonts w:ascii="Garamond" w:hAnsi="Garamond"/>
          <w:i/>
          <w:iCs/>
          <w:lang w:val="en-AU"/>
        </w:rPr>
        <w:t>defense</w:t>
      </w:r>
      <w:proofErr w:type="spellEnd"/>
      <w:r w:rsidRPr="00296953">
        <w:rPr>
          <w:rFonts w:ascii="Garamond" w:hAnsi="Garamond"/>
          <w:i/>
          <w:iCs/>
          <w:lang w:val="en-AU"/>
        </w:rPr>
        <w:t xml:space="preserve"> that can be waived.”</w:t>
      </w:r>
      <w:r w:rsidR="000969A7">
        <w:rPr>
          <w:rStyle w:val="Refdenotaalpie"/>
          <w:rFonts w:ascii="Garamond" w:hAnsi="Garamond"/>
          <w:i/>
          <w:iCs/>
          <w:lang w:val="en-AU"/>
        </w:rPr>
        <w:footnoteReference w:id="3"/>
      </w:r>
    </w:p>
    <w:p w14:paraId="6BE2CAC3" w14:textId="68883941" w:rsidR="00744D67" w:rsidRDefault="00744D67" w:rsidP="00744D67">
      <w:pPr>
        <w:rPr>
          <w:rFonts w:ascii="Garamond" w:hAnsi="Garamond"/>
          <w:lang w:val="en-AU"/>
        </w:rPr>
      </w:pPr>
    </w:p>
    <w:p w14:paraId="620D0CA1" w14:textId="77777777" w:rsidR="00042131" w:rsidRDefault="00042131" w:rsidP="00744D67">
      <w:pPr>
        <w:rPr>
          <w:rFonts w:ascii="Garamond" w:hAnsi="Garamond"/>
          <w:lang w:val="en-AU"/>
        </w:rPr>
      </w:pPr>
    </w:p>
    <w:p w14:paraId="228B524B" w14:textId="77777777" w:rsidR="00D57CEB" w:rsidRPr="00DE555F" w:rsidRDefault="00D57CEB" w:rsidP="00744D67">
      <w:pPr>
        <w:rPr>
          <w:rFonts w:ascii="Garamond" w:hAnsi="Garamond"/>
          <w:lang w:val="en-AU"/>
        </w:rPr>
      </w:pPr>
    </w:p>
    <w:p w14:paraId="3A20B14E" w14:textId="77777777" w:rsidR="00D57CEB" w:rsidRDefault="00D57CEB" w:rsidP="00744D67">
      <w:pPr>
        <w:rPr>
          <w:rFonts w:ascii="Garamond" w:hAnsi="Garamond"/>
          <w:b/>
          <w:bCs/>
          <w:lang w:val="en-AU"/>
        </w:rPr>
      </w:pPr>
    </w:p>
    <w:p w14:paraId="6A116AB4" w14:textId="77777777" w:rsidR="00D57CEB" w:rsidRDefault="00D57CEB" w:rsidP="00744D67">
      <w:pPr>
        <w:rPr>
          <w:rFonts w:ascii="Garamond" w:hAnsi="Garamond"/>
          <w:b/>
          <w:bCs/>
          <w:lang w:val="en-AU"/>
        </w:rPr>
      </w:pPr>
    </w:p>
    <w:p w14:paraId="768985D6" w14:textId="133EC4D2" w:rsidR="00744D67" w:rsidRPr="008357AA" w:rsidRDefault="008357AA" w:rsidP="00744D67">
      <w:pPr>
        <w:rPr>
          <w:rFonts w:ascii="Garamond" w:hAnsi="Garamond"/>
          <w:lang w:val="en-AU"/>
        </w:rPr>
      </w:pPr>
      <w:r w:rsidRPr="008357AA">
        <w:rPr>
          <w:rFonts w:ascii="Garamond" w:hAnsi="Garamond"/>
          <w:b/>
          <w:bCs/>
          <w:lang w:val="en-AU"/>
        </w:rPr>
        <w:t xml:space="preserve">II. </w:t>
      </w:r>
      <w:r w:rsidR="00744D67" w:rsidRPr="008357AA">
        <w:rPr>
          <w:rFonts w:ascii="Garamond" w:hAnsi="Garamond"/>
          <w:b/>
          <w:bCs/>
          <w:lang w:val="en-AU"/>
        </w:rPr>
        <w:t>Discharge, Good Faith, Bad Faith, and Perverse Incentives</w:t>
      </w:r>
    </w:p>
    <w:p w14:paraId="14E04B45" w14:textId="32EAF78A" w:rsidR="00744D67" w:rsidRPr="001C0FEA" w:rsidRDefault="00744D67" w:rsidP="005F7FFB">
      <w:pPr>
        <w:ind w:firstLine="708"/>
        <w:jc w:val="both"/>
        <w:rPr>
          <w:rFonts w:ascii="Garamond" w:hAnsi="Garamond"/>
          <w:lang w:val="en-AU"/>
        </w:rPr>
      </w:pPr>
      <w:r w:rsidRPr="00744D67">
        <w:rPr>
          <w:rFonts w:ascii="Garamond" w:hAnsi="Garamond"/>
          <w:lang w:val="en-AU"/>
        </w:rPr>
        <w:t xml:space="preserve">The discharge mechanism can create undesirable side effects—namely, </w:t>
      </w:r>
      <w:r w:rsidRPr="001C0FEA">
        <w:rPr>
          <w:rFonts w:ascii="Garamond" w:hAnsi="Garamond"/>
          <w:lang w:val="en-AU"/>
        </w:rPr>
        <w:t>perverse incentives.</w:t>
      </w:r>
      <w:r w:rsidRPr="00744D67">
        <w:rPr>
          <w:rFonts w:ascii="Garamond" w:hAnsi="Garamond"/>
          <w:lang w:val="en-AU"/>
        </w:rPr>
        <w:t xml:space="preserve"> The World Bank has expressed concern about the moral hazard involved in offering debtors a way to act irresponsibly with minimal consequence.</w:t>
      </w:r>
      <w:r w:rsidR="00CD6209">
        <w:rPr>
          <w:rStyle w:val="Refdenotaalpie"/>
          <w:rFonts w:ascii="Garamond" w:hAnsi="Garamond"/>
          <w:lang w:val="en-AU"/>
        </w:rPr>
        <w:footnoteReference w:id="4"/>
      </w:r>
    </w:p>
    <w:p w14:paraId="7BB45886" w14:textId="77777777" w:rsidR="00744D67" w:rsidRPr="001C0FEA" w:rsidRDefault="00744D67" w:rsidP="005F7FFB">
      <w:pPr>
        <w:jc w:val="both"/>
        <w:rPr>
          <w:rFonts w:ascii="Garamond" w:hAnsi="Garamond"/>
          <w:lang w:val="en-AU"/>
        </w:rPr>
      </w:pPr>
      <w:r w:rsidRPr="001C0FEA">
        <w:rPr>
          <w:rFonts w:ascii="Garamond" w:hAnsi="Garamond"/>
          <w:lang w:val="en-AU"/>
        </w:rPr>
        <w:t>This risk is heightened when discharge is exploited by repeat debtors:</w:t>
      </w:r>
      <w:r w:rsidRPr="001C0FEA">
        <w:rPr>
          <w:rFonts w:ascii="Garamond" w:hAnsi="Garamond"/>
          <w:lang w:val="en-AU"/>
        </w:rPr>
        <w:br/>
      </w:r>
      <w:r w:rsidRPr="001C0FEA">
        <w:rPr>
          <w:rFonts w:ascii="Garamond" w:hAnsi="Garamond"/>
          <w:i/>
          <w:iCs/>
          <w:lang w:val="en-AU"/>
        </w:rPr>
        <w:t>“It worked for me last time—I’ll rack up debt again, and eventually it’ll be written off.”</w:t>
      </w:r>
    </w:p>
    <w:p w14:paraId="50B5114D" w14:textId="77777777" w:rsidR="00744D67" w:rsidRPr="001C0FEA" w:rsidRDefault="00744D67" w:rsidP="00D57CEB">
      <w:pPr>
        <w:ind w:firstLine="708"/>
        <w:jc w:val="both"/>
        <w:rPr>
          <w:rFonts w:ascii="Garamond" w:hAnsi="Garamond"/>
          <w:lang w:val="en-AU"/>
        </w:rPr>
      </w:pPr>
      <w:r w:rsidRPr="001C0FEA">
        <w:rPr>
          <w:rFonts w:ascii="Garamond" w:hAnsi="Garamond"/>
          <w:lang w:val="en-AU"/>
        </w:rPr>
        <w:t>This constitutes bad faith, which the law must not tolerate.</w:t>
      </w:r>
      <w:r w:rsidRPr="001C0FEA">
        <w:rPr>
          <w:rFonts w:ascii="Garamond" w:hAnsi="Garamond"/>
          <w:lang w:val="en-AU"/>
        </w:rPr>
        <w:br/>
        <w:t>Bad faith involves intentional dishonesty—acts meant to deceive or take undue advantage, including misinformation or manipulation.</w:t>
      </w:r>
    </w:p>
    <w:p w14:paraId="3C12F80F" w14:textId="2166F611" w:rsidR="00042131" w:rsidRDefault="00744D67" w:rsidP="00D57CEB">
      <w:pPr>
        <w:ind w:firstLine="708"/>
        <w:jc w:val="both"/>
        <w:rPr>
          <w:rFonts w:ascii="Garamond" w:hAnsi="Garamond"/>
          <w:lang w:val="en-AU"/>
        </w:rPr>
      </w:pPr>
      <w:r w:rsidRPr="001C0FEA">
        <w:rPr>
          <w:rFonts w:ascii="Garamond" w:hAnsi="Garamond"/>
          <w:lang w:val="en-AU"/>
        </w:rPr>
        <w:t>Discharge must not be granted when the insolvency process is used to defraud creditors. Standards of evidence for bad faith vary by jurisdiction, making comparative analysis highly valuable.</w:t>
      </w:r>
    </w:p>
    <w:p w14:paraId="6D218D25" w14:textId="77777777" w:rsidR="00D57CEB" w:rsidRPr="001C0FEA" w:rsidRDefault="00D57CEB" w:rsidP="00D57CEB">
      <w:pPr>
        <w:ind w:firstLine="708"/>
        <w:jc w:val="both"/>
        <w:rPr>
          <w:rFonts w:ascii="Garamond" w:hAnsi="Garamond"/>
          <w:lang w:val="en-AU"/>
        </w:rPr>
      </w:pPr>
    </w:p>
    <w:p w14:paraId="1C90D5CE" w14:textId="774FB5DF" w:rsidR="00D57CEB" w:rsidRPr="001C0FEA" w:rsidRDefault="00744D67" w:rsidP="00744D67">
      <w:pPr>
        <w:jc w:val="both"/>
        <w:rPr>
          <w:rFonts w:ascii="Garamond" w:hAnsi="Garamond"/>
          <w:lang w:val="en-AU"/>
        </w:rPr>
      </w:pPr>
      <w:r w:rsidRPr="001C0FEA">
        <w:rPr>
          <w:rFonts w:ascii="Garamond" w:hAnsi="Garamond"/>
          <w:lang w:val="en-AU"/>
        </w:rPr>
        <w:t>Measures used by various jurisdictions to ensure good faith in discharge include:</w:t>
      </w:r>
    </w:p>
    <w:p w14:paraId="31305BC3" w14:textId="77777777" w:rsidR="00744D67" w:rsidRPr="00744D67" w:rsidRDefault="00744D67" w:rsidP="00744D67">
      <w:pPr>
        <w:numPr>
          <w:ilvl w:val="0"/>
          <w:numId w:val="3"/>
        </w:numPr>
        <w:rPr>
          <w:rFonts w:ascii="Garamond" w:hAnsi="Garamond"/>
          <w:lang w:val="en-AU"/>
        </w:rPr>
      </w:pPr>
      <w:r w:rsidRPr="00744D67">
        <w:rPr>
          <w:rFonts w:ascii="Garamond" w:hAnsi="Garamond"/>
          <w:lang w:val="en-AU"/>
        </w:rPr>
        <w:t>Listing debts that are never dischargeable, in whole or part</w:t>
      </w:r>
    </w:p>
    <w:p w14:paraId="273D0462" w14:textId="77777777" w:rsidR="00744D67" w:rsidRPr="00744D67" w:rsidRDefault="00744D67" w:rsidP="00744D67">
      <w:pPr>
        <w:numPr>
          <w:ilvl w:val="0"/>
          <w:numId w:val="3"/>
        </w:numPr>
        <w:rPr>
          <w:rFonts w:ascii="Garamond" w:hAnsi="Garamond"/>
          <w:lang w:val="en-AU"/>
        </w:rPr>
      </w:pPr>
      <w:r w:rsidRPr="00744D67">
        <w:rPr>
          <w:rFonts w:ascii="Garamond" w:hAnsi="Garamond"/>
          <w:lang w:val="en-AU"/>
        </w:rPr>
        <w:t>Defining eligible and ineligible individuals for discharge</w:t>
      </w:r>
    </w:p>
    <w:p w14:paraId="6ADDF472" w14:textId="77777777" w:rsidR="00744D67" w:rsidRPr="00744D67" w:rsidRDefault="00744D67" w:rsidP="00744D67">
      <w:pPr>
        <w:numPr>
          <w:ilvl w:val="0"/>
          <w:numId w:val="3"/>
        </w:numPr>
        <w:rPr>
          <w:rFonts w:ascii="Garamond" w:hAnsi="Garamond"/>
          <w:lang w:val="es-CL"/>
        </w:rPr>
      </w:pPr>
      <w:proofErr w:type="spellStart"/>
      <w:r w:rsidRPr="00744D67">
        <w:rPr>
          <w:rFonts w:ascii="Garamond" w:hAnsi="Garamond"/>
          <w:lang w:val="es-CL"/>
        </w:rPr>
        <w:t>Requiring</w:t>
      </w:r>
      <w:proofErr w:type="spellEnd"/>
      <w:r w:rsidRPr="00744D67">
        <w:rPr>
          <w:rFonts w:ascii="Garamond" w:hAnsi="Garamond"/>
          <w:lang w:val="es-CL"/>
        </w:rPr>
        <w:t xml:space="preserve"> </w:t>
      </w:r>
      <w:proofErr w:type="spellStart"/>
      <w:r w:rsidRPr="00744D67">
        <w:rPr>
          <w:rFonts w:ascii="Garamond" w:hAnsi="Garamond"/>
          <w:lang w:val="es-CL"/>
        </w:rPr>
        <w:t>partial</w:t>
      </w:r>
      <w:proofErr w:type="spellEnd"/>
      <w:r w:rsidRPr="00744D67">
        <w:rPr>
          <w:rFonts w:ascii="Garamond" w:hAnsi="Garamond"/>
          <w:lang w:val="es-CL"/>
        </w:rPr>
        <w:t xml:space="preserve"> </w:t>
      </w:r>
      <w:proofErr w:type="spellStart"/>
      <w:r w:rsidRPr="00744D67">
        <w:rPr>
          <w:rFonts w:ascii="Garamond" w:hAnsi="Garamond"/>
          <w:lang w:val="es-CL"/>
        </w:rPr>
        <w:t>payment</w:t>
      </w:r>
      <w:proofErr w:type="spellEnd"/>
      <w:r w:rsidRPr="00744D67">
        <w:rPr>
          <w:rFonts w:ascii="Garamond" w:hAnsi="Garamond"/>
          <w:lang w:val="es-CL"/>
        </w:rPr>
        <w:t xml:space="preserve"> </w:t>
      </w:r>
      <w:proofErr w:type="spellStart"/>
      <w:r w:rsidRPr="00744D67">
        <w:rPr>
          <w:rFonts w:ascii="Garamond" w:hAnsi="Garamond"/>
          <w:lang w:val="es-CL"/>
        </w:rPr>
        <w:t>of</w:t>
      </w:r>
      <w:proofErr w:type="spellEnd"/>
      <w:r w:rsidRPr="00744D67">
        <w:rPr>
          <w:rFonts w:ascii="Garamond" w:hAnsi="Garamond"/>
          <w:lang w:val="es-CL"/>
        </w:rPr>
        <w:t xml:space="preserve"> </w:t>
      </w:r>
      <w:proofErr w:type="spellStart"/>
      <w:r w:rsidRPr="00744D67">
        <w:rPr>
          <w:rFonts w:ascii="Garamond" w:hAnsi="Garamond"/>
          <w:lang w:val="es-CL"/>
        </w:rPr>
        <w:t>debts</w:t>
      </w:r>
      <w:proofErr w:type="spellEnd"/>
    </w:p>
    <w:p w14:paraId="5FF7B93D" w14:textId="77777777" w:rsidR="00744D67" w:rsidRPr="00744D67" w:rsidRDefault="00744D67" w:rsidP="00744D67">
      <w:pPr>
        <w:numPr>
          <w:ilvl w:val="0"/>
          <w:numId w:val="3"/>
        </w:numPr>
        <w:rPr>
          <w:rFonts w:ascii="Garamond" w:hAnsi="Garamond"/>
          <w:lang w:val="en-AU"/>
        </w:rPr>
      </w:pPr>
      <w:r w:rsidRPr="00744D67">
        <w:rPr>
          <w:rFonts w:ascii="Garamond" w:hAnsi="Garamond"/>
          <w:lang w:val="en-AU"/>
        </w:rPr>
        <w:t>Imposing waiting periods before repeat discharge can be sought</w:t>
      </w:r>
    </w:p>
    <w:p w14:paraId="3D8A54DE" w14:textId="6F408113" w:rsidR="00744D67" w:rsidRPr="00744D67" w:rsidRDefault="00744D67" w:rsidP="00744D67">
      <w:pPr>
        <w:numPr>
          <w:ilvl w:val="0"/>
          <w:numId w:val="3"/>
        </w:numPr>
        <w:rPr>
          <w:rFonts w:ascii="Garamond" w:hAnsi="Garamond"/>
          <w:lang w:val="en-AU"/>
        </w:rPr>
      </w:pPr>
      <w:r w:rsidRPr="00744D67">
        <w:rPr>
          <w:rFonts w:ascii="Garamond" w:hAnsi="Garamond"/>
          <w:lang w:val="en-AU"/>
        </w:rPr>
        <w:t>Establishing rehabilitation principles:</w:t>
      </w:r>
      <w:r w:rsidRPr="00744D67">
        <w:rPr>
          <w:rFonts w:ascii="Garamond" w:hAnsi="Garamond"/>
          <w:lang w:val="en-AU"/>
        </w:rPr>
        <w:br/>
        <w:t>Excessive debts should be lifted</w:t>
      </w:r>
      <w:r w:rsidRPr="00744D67">
        <w:rPr>
          <w:rFonts w:ascii="Garamond" w:hAnsi="Garamond"/>
          <w:lang w:val="en-AU"/>
        </w:rPr>
        <w:br/>
        <w:t>No future discrimination due to past discharge</w:t>
      </w:r>
      <w:r w:rsidRPr="00744D67">
        <w:rPr>
          <w:rFonts w:ascii="Garamond" w:hAnsi="Garamond"/>
          <w:lang w:val="en-AU"/>
        </w:rPr>
        <w:br/>
        <w:t>Debtors must avoid future over-indebtedness</w:t>
      </w:r>
    </w:p>
    <w:p w14:paraId="7EE69E37" w14:textId="77777777" w:rsidR="00744D67" w:rsidRPr="00744D67" w:rsidRDefault="00744D67" w:rsidP="00744D67">
      <w:pPr>
        <w:numPr>
          <w:ilvl w:val="0"/>
          <w:numId w:val="3"/>
        </w:numPr>
        <w:rPr>
          <w:rFonts w:ascii="Garamond" w:hAnsi="Garamond"/>
          <w:lang w:val="en-AU"/>
        </w:rPr>
      </w:pPr>
      <w:r w:rsidRPr="00744D67">
        <w:rPr>
          <w:rFonts w:ascii="Garamond" w:hAnsi="Garamond"/>
          <w:lang w:val="en-AU"/>
        </w:rPr>
        <w:t xml:space="preserve">Providing </w:t>
      </w:r>
      <w:r w:rsidRPr="00042131">
        <w:rPr>
          <w:rFonts w:ascii="Garamond" w:hAnsi="Garamond"/>
          <w:lang w:val="en-AU"/>
        </w:rPr>
        <w:t>incentives</w:t>
      </w:r>
      <w:r w:rsidRPr="00744D67">
        <w:rPr>
          <w:rFonts w:ascii="Garamond" w:hAnsi="Garamond"/>
          <w:lang w:val="en-AU"/>
        </w:rPr>
        <w:t xml:space="preserve"> for regular payment plans (e.g., larger discharge if debtor complies over time)</w:t>
      </w:r>
    </w:p>
    <w:p w14:paraId="553D61E6" w14:textId="29B1478F" w:rsidR="008357AA" w:rsidRDefault="00744D67" w:rsidP="00744D67">
      <w:pPr>
        <w:rPr>
          <w:rFonts w:ascii="Garamond" w:hAnsi="Garamond"/>
          <w:lang w:val="en-AU"/>
        </w:rPr>
      </w:pPr>
      <w:r w:rsidRPr="00744D67">
        <w:rPr>
          <w:rFonts w:ascii="Garamond" w:hAnsi="Garamond"/>
          <w:lang w:val="en-AU"/>
        </w:rPr>
        <w:t>Other mechanisms may apply depending on the legislator’s vision.</w:t>
      </w:r>
    </w:p>
    <w:p w14:paraId="22437263" w14:textId="77777777" w:rsidR="00D57CEB" w:rsidRDefault="00D57CEB" w:rsidP="00744D67">
      <w:pPr>
        <w:rPr>
          <w:rFonts w:ascii="Garamond" w:hAnsi="Garamond"/>
          <w:lang w:val="en-AU"/>
        </w:rPr>
      </w:pPr>
    </w:p>
    <w:p w14:paraId="4CC66E60" w14:textId="77777777" w:rsidR="00D57CEB" w:rsidRDefault="00D57CEB" w:rsidP="00744D67">
      <w:pPr>
        <w:rPr>
          <w:rFonts w:ascii="Garamond" w:hAnsi="Garamond"/>
          <w:lang w:val="en-AU"/>
        </w:rPr>
      </w:pPr>
    </w:p>
    <w:p w14:paraId="5795AC8C" w14:textId="77777777" w:rsidR="00D57CEB" w:rsidRDefault="00D57CEB" w:rsidP="00744D67">
      <w:pPr>
        <w:rPr>
          <w:rFonts w:ascii="Garamond" w:hAnsi="Garamond"/>
          <w:lang w:val="en-AU"/>
        </w:rPr>
      </w:pPr>
    </w:p>
    <w:p w14:paraId="18188A48" w14:textId="77777777" w:rsidR="00D57CEB" w:rsidRDefault="00D57CEB" w:rsidP="00744D67">
      <w:pPr>
        <w:rPr>
          <w:rFonts w:ascii="Garamond" w:hAnsi="Garamond"/>
          <w:lang w:val="en-AU"/>
        </w:rPr>
      </w:pPr>
    </w:p>
    <w:p w14:paraId="72B7699A" w14:textId="77777777" w:rsidR="00D57CEB" w:rsidRDefault="00D57CEB" w:rsidP="00744D67">
      <w:pPr>
        <w:rPr>
          <w:rFonts w:ascii="Garamond" w:hAnsi="Garamond"/>
          <w:lang w:val="en-AU"/>
        </w:rPr>
      </w:pPr>
    </w:p>
    <w:p w14:paraId="20EEE3A6" w14:textId="77777777" w:rsidR="00D57CEB" w:rsidRDefault="00D57CEB" w:rsidP="00744D67">
      <w:pPr>
        <w:rPr>
          <w:rFonts w:ascii="Garamond" w:hAnsi="Garamond"/>
          <w:lang w:val="en-AU"/>
        </w:rPr>
      </w:pPr>
    </w:p>
    <w:p w14:paraId="23D2C06C" w14:textId="77777777" w:rsidR="00D57CEB" w:rsidRDefault="00D57CEB" w:rsidP="00744D67">
      <w:pPr>
        <w:rPr>
          <w:rFonts w:ascii="Garamond" w:hAnsi="Garamond"/>
          <w:lang w:val="en-AU"/>
        </w:rPr>
      </w:pPr>
    </w:p>
    <w:p w14:paraId="3BBEE46D" w14:textId="77777777" w:rsidR="00D57CEB" w:rsidRPr="00744D67" w:rsidRDefault="00D57CEB" w:rsidP="00744D67">
      <w:pPr>
        <w:rPr>
          <w:rFonts w:ascii="Garamond" w:hAnsi="Garamond"/>
          <w:lang w:val="en-AU"/>
        </w:rPr>
      </w:pPr>
    </w:p>
    <w:p w14:paraId="0CAC146F" w14:textId="011BFE98" w:rsidR="00744D67" w:rsidRPr="006F09A9" w:rsidRDefault="008357AA" w:rsidP="00744D67">
      <w:pPr>
        <w:rPr>
          <w:rFonts w:ascii="Garamond" w:hAnsi="Garamond"/>
          <w:b/>
          <w:bCs/>
          <w:lang w:val="en-AU"/>
        </w:rPr>
      </w:pPr>
      <w:r>
        <w:rPr>
          <w:rFonts w:ascii="Garamond" w:hAnsi="Garamond"/>
          <w:b/>
          <w:bCs/>
          <w:lang w:val="en-AU"/>
        </w:rPr>
        <w:t xml:space="preserve">III. </w:t>
      </w:r>
      <w:r w:rsidR="00744D67" w:rsidRPr="006F09A9">
        <w:rPr>
          <w:rFonts w:ascii="Garamond" w:hAnsi="Garamond"/>
          <w:b/>
          <w:bCs/>
          <w:lang w:val="en-AU"/>
        </w:rPr>
        <w:t>Cross-Border Insolvency Cases</w:t>
      </w:r>
    </w:p>
    <w:p w14:paraId="4098977A" w14:textId="77777777" w:rsidR="00744D67" w:rsidRPr="006F09A9" w:rsidRDefault="00744D67" w:rsidP="006F09A9">
      <w:pPr>
        <w:ind w:firstLine="708"/>
        <w:rPr>
          <w:rFonts w:ascii="Garamond" w:hAnsi="Garamond"/>
          <w:lang w:val="en-AU"/>
        </w:rPr>
      </w:pPr>
      <w:r w:rsidRPr="00744D67">
        <w:rPr>
          <w:rFonts w:ascii="Garamond" w:hAnsi="Garamond"/>
          <w:lang w:val="en-AU"/>
        </w:rPr>
        <w:t xml:space="preserve">Discharge becomes particularly complex in </w:t>
      </w:r>
      <w:r w:rsidRPr="006F09A9">
        <w:rPr>
          <w:rFonts w:ascii="Garamond" w:hAnsi="Garamond"/>
          <w:lang w:val="en-AU"/>
        </w:rPr>
        <w:t>international insolvencies. Must a discharge granted in one country be recognized in another?</w:t>
      </w:r>
    </w:p>
    <w:p w14:paraId="38F80328" w14:textId="77777777" w:rsidR="00744D67" w:rsidRPr="006F09A9" w:rsidRDefault="00744D67" w:rsidP="00744D67">
      <w:pPr>
        <w:rPr>
          <w:rFonts w:ascii="Garamond" w:hAnsi="Garamond"/>
          <w:lang w:val="en-AU"/>
        </w:rPr>
      </w:pPr>
      <w:r w:rsidRPr="006F09A9">
        <w:rPr>
          <w:rFonts w:ascii="Garamond" w:hAnsi="Garamond"/>
          <w:lang w:val="en-AU"/>
        </w:rPr>
        <w:t xml:space="preserve">In principle, if the discharge is granted under the main proceeding, the lex </w:t>
      </w:r>
      <w:proofErr w:type="spellStart"/>
      <w:r w:rsidRPr="006F09A9">
        <w:rPr>
          <w:rFonts w:ascii="Garamond" w:hAnsi="Garamond"/>
          <w:lang w:val="en-AU"/>
        </w:rPr>
        <w:t>fori</w:t>
      </w:r>
      <w:proofErr w:type="spellEnd"/>
      <w:r w:rsidRPr="006F09A9">
        <w:rPr>
          <w:rFonts w:ascii="Garamond" w:hAnsi="Garamond"/>
          <w:lang w:val="en-AU"/>
        </w:rPr>
        <w:t xml:space="preserve"> concursus should prevail, and other jurisdictions should recognize the decision.</w:t>
      </w:r>
    </w:p>
    <w:p w14:paraId="1D9DD539" w14:textId="77777777" w:rsidR="00744D67" w:rsidRPr="006F09A9" w:rsidRDefault="00744D67" w:rsidP="00744D67">
      <w:pPr>
        <w:rPr>
          <w:rFonts w:ascii="Garamond" w:hAnsi="Garamond"/>
          <w:lang w:val="en-AU"/>
        </w:rPr>
      </w:pPr>
      <w:r w:rsidRPr="006F09A9">
        <w:rPr>
          <w:rFonts w:ascii="Garamond" w:hAnsi="Garamond"/>
          <w:lang w:val="en-AU"/>
        </w:rPr>
        <w:t>However, local standards of good or bad faith will still influence whether the discharge is accepted abroad.</w:t>
      </w:r>
    </w:p>
    <w:p w14:paraId="4B09AE51" w14:textId="4AF78B1E" w:rsidR="00744D67" w:rsidRPr="00D57CEB" w:rsidRDefault="00744D67" w:rsidP="00744D67">
      <w:pPr>
        <w:rPr>
          <w:rFonts w:ascii="Garamond" w:hAnsi="Garamond"/>
          <w:sz w:val="20"/>
          <w:szCs w:val="20"/>
          <w:lang w:val="en-AU"/>
        </w:rPr>
      </w:pPr>
    </w:p>
    <w:p w14:paraId="4D71459F" w14:textId="77777777" w:rsidR="00744D67" w:rsidRPr="00D57CEB" w:rsidRDefault="00744D67" w:rsidP="00D57CEB">
      <w:pPr>
        <w:ind w:left="6372"/>
        <w:rPr>
          <w:rFonts w:ascii="Garamond" w:hAnsi="Garamond"/>
          <w:sz w:val="20"/>
          <w:szCs w:val="20"/>
          <w:lang w:val="es-CL"/>
        </w:rPr>
      </w:pPr>
      <w:r w:rsidRPr="00D57CEB">
        <w:rPr>
          <w:rFonts w:ascii="Garamond" w:hAnsi="Garamond"/>
          <w:b/>
          <w:bCs/>
          <w:sz w:val="20"/>
          <w:szCs w:val="20"/>
          <w:lang w:val="es-CL"/>
        </w:rPr>
        <w:t xml:space="preserve">Luis Manuel C. </w:t>
      </w:r>
      <w:proofErr w:type="spellStart"/>
      <w:r w:rsidRPr="00D57CEB">
        <w:rPr>
          <w:rFonts w:ascii="Garamond" w:hAnsi="Garamond"/>
          <w:b/>
          <w:bCs/>
          <w:sz w:val="20"/>
          <w:szCs w:val="20"/>
          <w:lang w:val="es-CL"/>
        </w:rPr>
        <w:t>Méjan</w:t>
      </w:r>
      <w:proofErr w:type="spellEnd"/>
      <w:r w:rsidRPr="00D57CEB">
        <w:rPr>
          <w:rFonts w:ascii="Garamond" w:hAnsi="Garamond"/>
          <w:sz w:val="20"/>
          <w:szCs w:val="20"/>
          <w:lang w:val="es-CL"/>
        </w:rPr>
        <w:br/>
      </w:r>
      <w:proofErr w:type="spellStart"/>
      <w:r w:rsidRPr="00D57CEB">
        <w:rPr>
          <w:rFonts w:ascii="Garamond" w:hAnsi="Garamond"/>
          <w:sz w:val="20"/>
          <w:szCs w:val="20"/>
          <w:lang w:val="es-CL"/>
        </w:rPr>
        <w:t>Mexico</w:t>
      </w:r>
      <w:proofErr w:type="spellEnd"/>
      <w:r w:rsidRPr="00D57CEB">
        <w:rPr>
          <w:rFonts w:ascii="Garamond" w:hAnsi="Garamond"/>
          <w:sz w:val="20"/>
          <w:szCs w:val="20"/>
          <w:lang w:val="es-CL"/>
        </w:rPr>
        <w:t xml:space="preserve"> City, June 2025</w:t>
      </w:r>
    </w:p>
    <w:p w14:paraId="571F5838" w14:textId="77777777" w:rsidR="00744D67" w:rsidRPr="00744D67" w:rsidRDefault="00744D67" w:rsidP="00744D67">
      <w:pPr>
        <w:ind w:left="5664"/>
        <w:rPr>
          <w:rFonts w:ascii="Garamond" w:hAnsi="Garamond"/>
          <w:lang w:val="es-CL"/>
        </w:rPr>
      </w:pPr>
    </w:p>
    <w:p w14:paraId="2C02F5E7" w14:textId="52476672" w:rsidR="00744D67" w:rsidRPr="00FA26FF" w:rsidRDefault="008357AA">
      <w:pPr>
        <w:rPr>
          <w:rFonts w:ascii="Garamond" w:hAnsi="Garamond"/>
          <w:sz w:val="20"/>
          <w:szCs w:val="20"/>
          <w:lang w:val="en-AU"/>
        </w:rPr>
      </w:pPr>
      <w:r w:rsidRPr="008357AA">
        <w:rPr>
          <w:rFonts w:ascii="Garamond" w:hAnsi="Garamond"/>
          <w:b/>
          <w:bCs/>
          <w:sz w:val="20"/>
          <w:szCs w:val="20"/>
          <w:lang w:val="en-AU"/>
        </w:rPr>
        <w:t xml:space="preserve">About the author: </w:t>
      </w:r>
      <w:r w:rsidR="00744D67" w:rsidRPr="008357AA">
        <w:rPr>
          <w:rFonts w:ascii="Garamond" w:hAnsi="Garamond"/>
          <w:sz w:val="20"/>
          <w:szCs w:val="20"/>
          <w:lang w:val="en-AU"/>
        </w:rPr>
        <w:t>Doctor of Law. Former General Director of the Federal Institute for Commercial Insolvency Specialists (Mexico).</w:t>
      </w:r>
      <w:r w:rsidR="00744D67" w:rsidRPr="008357AA">
        <w:rPr>
          <w:rFonts w:ascii="Garamond" w:hAnsi="Garamond"/>
          <w:sz w:val="20"/>
          <w:szCs w:val="20"/>
          <w:lang w:val="en-AU"/>
        </w:rPr>
        <w:br/>
        <w:t>Active member of the International Insolvency Institute.</w:t>
      </w:r>
      <w:r w:rsidR="00744D67" w:rsidRPr="008357AA">
        <w:rPr>
          <w:rFonts w:ascii="Garamond" w:hAnsi="Garamond"/>
          <w:sz w:val="20"/>
          <w:szCs w:val="20"/>
          <w:lang w:val="en-AU"/>
        </w:rPr>
        <w:br/>
        <w:t>Renowned lawyer specializing in insolvency and restructuring, with extensive academic and professional experience in Mexican insolvency law.</w:t>
      </w:r>
    </w:p>
    <w:sectPr w:rsidR="00744D67" w:rsidRPr="00FA26FF">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62728" w14:textId="77777777" w:rsidR="000457A3" w:rsidRDefault="000457A3" w:rsidP="003B1083">
      <w:pPr>
        <w:spacing w:after="0" w:line="240" w:lineRule="auto"/>
      </w:pPr>
      <w:r>
        <w:separator/>
      </w:r>
    </w:p>
  </w:endnote>
  <w:endnote w:type="continuationSeparator" w:id="0">
    <w:p w14:paraId="357D4016" w14:textId="77777777" w:rsidR="000457A3" w:rsidRDefault="000457A3" w:rsidP="003B10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ACD3F" w14:textId="77777777" w:rsidR="000457A3" w:rsidRDefault="000457A3" w:rsidP="003B1083">
      <w:pPr>
        <w:spacing w:after="0" w:line="240" w:lineRule="auto"/>
      </w:pPr>
      <w:r>
        <w:separator/>
      </w:r>
    </w:p>
  </w:footnote>
  <w:footnote w:type="continuationSeparator" w:id="0">
    <w:p w14:paraId="2D90028E" w14:textId="77777777" w:rsidR="000457A3" w:rsidRDefault="000457A3" w:rsidP="003B1083">
      <w:pPr>
        <w:spacing w:after="0" w:line="240" w:lineRule="auto"/>
      </w:pPr>
      <w:r>
        <w:continuationSeparator/>
      </w:r>
    </w:p>
  </w:footnote>
  <w:footnote w:id="1">
    <w:p w14:paraId="277EF84B" w14:textId="7550B514" w:rsidR="001360D4" w:rsidRPr="00155CAA" w:rsidRDefault="001360D4">
      <w:pPr>
        <w:pStyle w:val="Textonotapie"/>
        <w:rPr>
          <w:lang w:val="en-AU"/>
        </w:rPr>
      </w:pPr>
      <w:r>
        <w:rPr>
          <w:rStyle w:val="Refdenotaalpie"/>
        </w:rPr>
        <w:footnoteRef/>
      </w:r>
      <w:r w:rsidRPr="001360D4">
        <w:rPr>
          <w:lang w:val="en-AU"/>
        </w:rPr>
        <w:t xml:space="preserve"> </w:t>
      </w:r>
      <w:proofErr w:type="spellStart"/>
      <w:r w:rsidR="00155CAA" w:rsidRPr="00155CAA">
        <w:rPr>
          <w:rFonts w:ascii="Garamond" w:hAnsi="Garamond"/>
          <w:lang w:val="en-AU"/>
        </w:rPr>
        <w:t>Obliga</w:t>
      </w:r>
      <w:proofErr w:type="spellEnd"/>
      <w:r w:rsidR="00155CAA" w:rsidRPr="00155CAA">
        <w:rPr>
          <w:rFonts w:ascii="Garamond" w:hAnsi="Garamond"/>
          <w:lang w:val="en-AU"/>
        </w:rPr>
        <w:t xml:space="preserve"> </w:t>
      </w:r>
      <w:proofErr w:type="spellStart"/>
      <w:r w:rsidR="00155CAA" w:rsidRPr="00155CAA">
        <w:rPr>
          <w:rFonts w:ascii="Garamond" w:hAnsi="Garamond"/>
          <w:lang w:val="en-AU"/>
        </w:rPr>
        <w:t>recordar</w:t>
      </w:r>
      <w:proofErr w:type="spellEnd"/>
      <w:r w:rsidR="00155CAA" w:rsidRPr="00155CAA">
        <w:rPr>
          <w:rFonts w:ascii="Garamond" w:hAnsi="Garamond"/>
          <w:lang w:val="en-AU"/>
        </w:rPr>
        <w:t xml:space="preserve"> </w:t>
      </w:r>
      <w:proofErr w:type="spellStart"/>
      <w:r w:rsidR="00155CAA" w:rsidRPr="00155CAA">
        <w:rPr>
          <w:rFonts w:ascii="Garamond" w:hAnsi="Garamond"/>
          <w:lang w:val="en-AU"/>
        </w:rPr>
        <w:t>aquella</w:t>
      </w:r>
      <w:proofErr w:type="spellEnd"/>
      <w:r w:rsidR="00155CAA" w:rsidRPr="00155CAA">
        <w:rPr>
          <w:rFonts w:ascii="Garamond" w:hAnsi="Garamond"/>
          <w:lang w:val="en-AU"/>
        </w:rPr>
        <w:t xml:space="preserve"> canción de </w:t>
      </w:r>
      <w:proofErr w:type="spellStart"/>
      <w:r w:rsidR="00155CAA" w:rsidRPr="00155CAA">
        <w:rPr>
          <w:rFonts w:ascii="Garamond" w:hAnsi="Garamond"/>
          <w:lang w:val="en-AU"/>
        </w:rPr>
        <w:t>los</w:t>
      </w:r>
      <w:proofErr w:type="spellEnd"/>
      <w:r w:rsidR="00155CAA" w:rsidRPr="00155CAA">
        <w:rPr>
          <w:rFonts w:ascii="Garamond" w:hAnsi="Garamond"/>
          <w:lang w:val="en-AU"/>
        </w:rPr>
        <w:t xml:space="preserve"> </w:t>
      </w:r>
      <w:proofErr w:type="spellStart"/>
      <w:r w:rsidR="00155CAA" w:rsidRPr="00155CAA">
        <w:rPr>
          <w:rFonts w:ascii="Garamond" w:hAnsi="Garamond"/>
          <w:lang w:val="en-AU"/>
        </w:rPr>
        <w:t>años</w:t>
      </w:r>
      <w:proofErr w:type="spellEnd"/>
      <w:r w:rsidR="00155CAA" w:rsidRPr="00155CAA">
        <w:rPr>
          <w:rFonts w:ascii="Garamond" w:hAnsi="Garamond"/>
          <w:lang w:val="en-AU"/>
        </w:rPr>
        <w:t xml:space="preserve"> 50: </w:t>
      </w:r>
      <w:r w:rsidR="00155CAA" w:rsidRPr="00155CAA">
        <w:rPr>
          <w:rFonts w:ascii="Garamond" w:hAnsi="Garamond"/>
          <w:i/>
          <w:iCs/>
          <w:lang w:val="en-AU"/>
        </w:rPr>
        <w:t xml:space="preserve">Sixteen Tons: “St. Peter don’t you call me </w:t>
      </w:r>
      <w:proofErr w:type="spellStart"/>
      <w:r w:rsidR="00155CAA" w:rsidRPr="00155CAA">
        <w:rPr>
          <w:rFonts w:ascii="Garamond" w:hAnsi="Garamond"/>
          <w:i/>
          <w:iCs/>
          <w:lang w:val="en-AU"/>
        </w:rPr>
        <w:t>‘</w:t>
      </w:r>
      <w:proofErr w:type="gramStart"/>
      <w:r w:rsidR="00155CAA" w:rsidRPr="00155CAA">
        <w:rPr>
          <w:rFonts w:ascii="Garamond" w:hAnsi="Garamond"/>
          <w:i/>
          <w:iCs/>
          <w:lang w:val="en-AU"/>
        </w:rPr>
        <w:t>cause</w:t>
      </w:r>
      <w:proofErr w:type="spellEnd"/>
      <w:proofErr w:type="gramEnd"/>
      <w:r w:rsidR="00155CAA" w:rsidRPr="00155CAA">
        <w:rPr>
          <w:rFonts w:ascii="Garamond" w:hAnsi="Garamond"/>
          <w:i/>
          <w:iCs/>
          <w:lang w:val="en-AU"/>
        </w:rPr>
        <w:t xml:space="preserve"> I can’t go, I owe my soul to the Company Store”</w:t>
      </w:r>
    </w:p>
  </w:footnote>
  <w:footnote w:id="2">
    <w:p w14:paraId="01FAA6A1" w14:textId="4718B374" w:rsidR="00947C30" w:rsidRPr="00947C30" w:rsidRDefault="00947C30">
      <w:pPr>
        <w:pStyle w:val="Textonotapie"/>
        <w:rPr>
          <w:lang w:val="en-AU"/>
        </w:rPr>
      </w:pPr>
      <w:r>
        <w:rPr>
          <w:rStyle w:val="Refdenotaalpie"/>
        </w:rPr>
        <w:footnoteRef/>
      </w:r>
      <w:r w:rsidRPr="00947C30">
        <w:rPr>
          <w:lang w:val="en-AU"/>
        </w:rPr>
        <w:t xml:space="preserve"> </w:t>
      </w:r>
      <w:r w:rsidR="001C0FEA" w:rsidRPr="001C0FEA">
        <w:rPr>
          <w:rFonts w:ascii="Garamond" w:hAnsi="Garamond"/>
          <w:lang w:val="en-AU"/>
        </w:rPr>
        <w:t>INSOL INTERNATIONAL. Protocol for International Recognition of Insolvency Proceedings Affecting Natural Persons. London, Page 9</w:t>
      </w:r>
      <w:r w:rsidR="001C0FEA" w:rsidRPr="001C0FEA">
        <w:rPr>
          <w:rFonts w:ascii="Garamond" w:hAnsi="Garamond"/>
          <w:i/>
          <w:iCs/>
          <w:lang w:val="en-AU"/>
        </w:rPr>
        <w:t>. “…the concept of a discharge of debt in a reasonable amount of time so that individuals may continue with their lives without having to earn their living in legal limbo.”</w:t>
      </w:r>
    </w:p>
  </w:footnote>
  <w:footnote w:id="3">
    <w:p w14:paraId="42561979" w14:textId="1999582D" w:rsidR="000969A7" w:rsidRPr="00330652" w:rsidRDefault="000969A7">
      <w:pPr>
        <w:pStyle w:val="Textonotapie"/>
        <w:rPr>
          <w:lang w:val="en-AU"/>
        </w:rPr>
      </w:pPr>
      <w:r>
        <w:rPr>
          <w:rStyle w:val="Refdenotaalpie"/>
        </w:rPr>
        <w:footnoteRef/>
      </w:r>
      <w:r w:rsidRPr="00330652">
        <w:rPr>
          <w:lang w:val="en-AU"/>
        </w:rPr>
        <w:t xml:space="preserve"> </w:t>
      </w:r>
      <w:r w:rsidR="00330652" w:rsidRPr="00330652">
        <w:rPr>
          <w:rFonts w:ascii="Garamond" w:hAnsi="Garamond"/>
          <w:lang w:val="en-AU"/>
        </w:rPr>
        <w:t>abi.org/newsroom/daily-wire/plan-didn’t-extinguish-debts-only-discharged-them-fifth-circuit-says</w:t>
      </w:r>
    </w:p>
  </w:footnote>
  <w:footnote w:id="4">
    <w:p w14:paraId="7B2731E3" w14:textId="00F6570F" w:rsidR="00CD6209" w:rsidRPr="00CD6209" w:rsidRDefault="00CD6209">
      <w:pPr>
        <w:pStyle w:val="Textonotapie"/>
        <w:rPr>
          <w:lang w:val="en-AU"/>
        </w:rPr>
      </w:pPr>
      <w:r>
        <w:rPr>
          <w:rStyle w:val="Refdenotaalpie"/>
        </w:rPr>
        <w:footnoteRef/>
      </w:r>
      <w:r w:rsidRPr="00CD6209">
        <w:rPr>
          <w:lang w:val="en-AU"/>
        </w:rPr>
        <w:t xml:space="preserve"> </w:t>
      </w:r>
      <w:r w:rsidR="0065767B" w:rsidRPr="0065767B">
        <w:rPr>
          <w:rFonts w:ascii="Garamond" w:hAnsi="Garamond"/>
          <w:lang w:val="en-AU"/>
        </w:rPr>
        <w:t xml:space="preserve">The World Bank.  </w:t>
      </w:r>
      <w:r w:rsidR="0065767B" w:rsidRPr="0065767B">
        <w:rPr>
          <w:rFonts w:ascii="Garamond" w:hAnsi="Garamond"/>
          <w:i/>
          <w:iCs/>
          <w:lang w:val="en-AU"/>
        </w:rPr>
        <w:t>Report of the Working Group for the Treatment of the Insolvency of Natural Persons.</w:t>
      </w:r>
      <w:r w:rsidR="0065767B" w:rsidRPr="0065767B">
        <w:rPr>
          <w:rFonts w:ascii="Garamond" w:hAnsi="Garamond"/>
          <w:lang w:val="en-AU"/>
        </w:rPr>
        <w:t xml:space="preserve"> Report No: ACS6818. Insolvency and Creditor/Debtor Regimes Task Force. </w:t>
      </w:r>
      <w:proofErr w:type="spellStart"/>
      <w:r w:rsidR="0065767B" w:rsidRPr="0065767B">
        <w:rPr>
          <w:rFonts w:ascii="Garamond" w:hAnsi="Garamond"/>
        </w:rPr>
        <w:t>The</w:t>
      </w:r>
      <w:proofErr w:type="spellEnd"/>
      <w:r w:rsidR="0065767B" w:rsidRPr="0065767B">
        <w:rPr>
          <w:rFonts w:ascii="Garamond" w:hAnsi="Garamond"/>
        </w:rPr>
        <w:t xml:space="preserve"> </w:t>
      </w:r>
      <w:proofErr w:type="spellStart"/>
      <w:r w:rsidR="0065767B" w:rsidRPr="0065767B">
        <w:rPr>
          <w:rFonts w:ascii="Garamond" w:hAnsi="Garamond"/>
        </w:rPr>
        <w:t>World</w:t>
      </w:r>
      <w:proofErr w:type="spellEnd"/>
      <w:r w:rsidR="0065767B" w:rsidRPr="0065767B">
        <w:rPr>
          <w:rFonts w:ascii="Garamond" w:hAnsi="Garamond"/>
        </w:rPr>
        <w:t xml:space="preserve"> Bank. Washington, D.C. Page 41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15409"/>
    <w:multiLevelType w:val="hybridMultilevel"/>
    <w:tmpl w:val="B5AAC04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565C3D79"/>
    <w:multiLevelType w:val="multilevel"/>
    <w:tmpl w:val="35289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91A2D91"/>
    <w:multiLevelType w:val="hybridMultilevel"/>
    <w:tmpl w:val="486841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403919900">
    <w:abstractNumId w:val="2"/>
  </w:num>
  <w:num w:numId="2" w16cid:durableId="232160243">
    <w:abstractNumId w:val="0"/>
  </w:num>
  <w:num w:numId="3" w16cid:durableId="604383039">
    <w:abstractNumId w:val="1"/>
  </w:num>
  <w:num w:numId="4" w16cid:durableId="8572302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084472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083"/>
    <w:rsid w:val="00042131"/>
    <w:rsid w:val="000457A3"/>
    <w:rsid w:val="000969A7"/>
    <w:rsid w:val="001360D4"/>
    <w:rsid w:val="00155CAA"/>
    <w:rsid w:val="001B1512"/>
    <w:rsid w:val="001C0FEA"/>
    <w:rsid w:val="00296953"/>
    <w:rsid w:val="00330652"/>
    <w:rsid w:val="003B1083"/>
    <w:rsid w:val="005214BC"/>
    <w:rsid w:val="005F7FFB"/>
    <w:rsid w:val="0065767B"/>
    <w:rsid w:val="006F09A9"/>
    <w:rsid w:val="00744D67"/>
    <w:rsid w:val="008357AA"/>
    <w:rsid w:val="008E5BAC"/>
    <w:rsid w:val="008F659C"/>
    <w:rsid w:val="00947C30"/>
    <w:rsid w:val="00B608C6"/>
    <w:rsid w:val="00BB1427"/>
    <w:rsid w:val="00BB39B9"/>
    <w:rsid w:val="00CD6209"/>
    <w:rsid w:val="00D57CEB"/>
    <w:rsid w:val="00DE555F"/>
    <w:rsid w:val="00EE0F44"/>
    <w:rsid w:val="00EE39AB"/>
    <w:rsid w:val="00F10D1C"/>
    <w:rsid w:val="00F146AC"/>
    <w:rsid w:val="00FA26FF"/>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D6BCE"/>
  <w15:chartTrackingRefBased/>
  <w15:docId w15:val="{382EAC1A-7E38-144F-8C5B-F2BBA2BA9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419"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1083"/>
  </w:style>
  <w:style w:type="paragraph" w:styleId="Ttulo1">
    <w:name w:val="heading 1"/>
    <w:basedOn w:val="Normal"/>
    <w:next w:val="Normal"/>
    <w:link w:val="Ttulo1Car"/>
    <w:uiPriority w:val="9"/>
    <w:qFormat/>
    <w:rsid w:val="003B10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B10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B108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B108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B108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B108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B108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B108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B108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B108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B108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B108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B108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B108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B108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B108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B108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B1083"/>
    <w:rPr>
      <w:rFonts w:eastAsiaTheme="majorEastAsia" w:cstheme="majorBidi"/>
      <w:color w:val="272727" w:themeColor="text1" w:themeTint="D8"/>
    </w:rPr>
  </w:style>
  <w:style w:type="paragraph" w:styleId="Ttulo">
    <w:name w:val="Title"/>
    <w:basedOn w:val="Normal"/>
    <w:next w:val="Normal"/>
    <w:link w:val="TtuloCar"/>
    <w:uiPriority w:val="10"/>
    <w:qFormat/>
    <w:rsid w:val="003B10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B108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B108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B108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B1083"/>
    <w:pPr>
      <w:spacing w:before="160"/>
      <w:jc w:val="center"/>
    </w:pPr>
    <w:rPr>
      <w:i/>
      <w:iCs/>
      <w:color w:val="404040" w:themeColor="text1" w:themeTint="BF"/>
    </w:rPr>
  </w:style>
  <w:style w:type="character" w:customStyle="1" w:styleId="CitaCar">
    <w:name w:val="Cita Car"/>
    <w:basedOn w:val="Fuentedeprrafopredeter"/>
    <w:link w:val="Cita"/>
    <w:uiPriority w:val="29"/>
    <w:rsid w:val="003B1083"/>
    <w:rPr>
      <w:i/>
      <w:iCs/>
      <w:color w:val="404040" w:themeColor="text1" w:themeTint="BF"/>
    </w:rPr>
  </w:style>
  <w:style w:type="paragraph" w:styleId="Prrafodelista">
    <w:name w:val="List Paragraph"/>
    <w:basedOn w:val="Normal"/>
    <w:uiPriority w:val="34"/>
    <w:qFormat/>
    <w:rsid w:val="003B1083"/>
    <w:pPr>
      <w:ind w:left="720"/>
      <w:contextualSpacing/>
    </w:pPr>
  </w:style>
  <w:style w:type="character" w:styleId="nfasisintenso">
    <w:name w:val="Intense Emphasis"/>
    <w:basedOn w:val="Fuentedeprrafopredeter"/>
    <w:uiPriority w:val="21"/>
    <w:qFormat/>
    <w:rsid w:val="003B1083"/>
    <w:rPr>
      <w:i/>
      <w:iCs/>
      <w:color w:val="0F4761" w:themeColor="accent1" w:themeShade="BF"/>
    </w:rPr>
  </w:style>
  <w:style w:type="paragraph" w:styleId="Citadestacada">
    <w:name w:val="Intense Quote"/>
    <w:basedOn w:val="Normal"/>
    <w:next w:val="Normal"/>
    <w:link w:val="CitadestacadaCar"/>
    <w:uiPriority w:val="30"/>
    <w:qFormat/>
    <w:rsid w:val="003B10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B1083"/>
    <w:rPr>
      <w:i/>
      <w:iCs/>
      <w:color w:val="0F4761" w:themeColor="accent1" w:themeShade="BF"/>
    </w:rPr>
  </w:style>
  <w:style w:type="character" w:styleId="Referenciaintensa">
    <w:name w:val="Intense Reference"/>
    <w:basedOn w:val="Fuentedeprrafopredeter"/>
    <w:uiPriority w:val="32"/>
    <w:qFormat/>
    <w:rsid w:val="003B1083"/>
    <w:rPr>
      <w:b/>
      <w:bCs/>
      <w:smallCaps/>
      <w:color w:val="0F4761" w:themeColor="accent1" w:themeShade="BF"/>
      <w:spacing w:val="5"/>
    </w:rPr>
  </w:style>
  <w:style w:type="paragraph" w:customStyle="1" w:styleId="Default">
    <w:name w:val="Default"/>
    <w:rsid w:val="003B1083"/>
    <w:pPr>
      <w:autoSpaceDE w:val="0"/>
      <w:autoSpaceDN w:val="0"/>
      <w:adjustRightInd w:val="0"/>
      <w:spacing w:after="0" w:line="240" w:lineRule="auto"/>
    </w:pPr>
    <w:rPr>
      <w:rFonts w:ascii="Arial" w:hAnsi="Arial" w:cs="Arial"/>
      <w:color w:val="000000"/>
      <w:kern w:val="0"/>
      <w:lang w:val="es-MX"/>
    </w:rPr>
  </w:style>
  <w:style w:type="paragraph" w:styleId="Textonotapie">
    <w:name w:val="footnote text"/>
    <w:basedOn w:val="Normal"/>
    <w:link w:val="TextonotapieCar"/>
    <w:uiPriority w:val="99"/>
    <w:semiHidden/>
    <w:unhideWhenUsed/>
    <w:rsid w:val="003B108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B1083"/>
    <w:rPr>
      <w:sz w:val="20"/>
      <w:szCs w:val="20"/>
    </w:rPr>
  </w:style>
  <w:style w:type="character" w:styleId="Refdenotaalpie">
    <w:name w:val="footnote reference"/>
    <w:basedOn w:val="Fuentedeprrafopredeter"/>
    <w:uiPriority w:val="99"/>
    <w:semiHidden/>
    <w:unhideWhenUsed/>
    <w:rsid w:val="003B108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887162">
      <w:bodyDiv w:val="1"/>
      <w:marLeft w:val="0"/>
      <w:marRight w:val="0"/>
      <w:marTop w:val="0"/>
      <w:marBottom w:val="0"/>
      <w:divBdr>
        <w:top w:val="none" w:sz="0" w:space="0" w:color="auto"/>
        <w:left w:val="none" w:sz="0" w:space="0" w:color="auto"/>
        <w:bottom w:val="none" w:sz="0" w:space="0" w:color="auto"/>
        <w:right w:val="none" w:sz="0" w:space="0" w:color="auto"/>
      </w:divBdr>
    </w:div>
    <w:div w:id="558591478">
      <w:bodyDiv w:val="1"/>
      <w:marLeft w:val="0"/>
      <w:marRight w:val="0"/>
      <w:marTop w:val="0"/>
      <w:marBottom w:val="0"/>
      <w:divBdr>
        <w:top w:val="none" w:sz="0" w:space="0" w:color="auto"/>
        <w:left w:val="none" w:sz="0" w:space="0" w:color="auto"/>
        <w:bottom w:val="none" w:sz="0" w:space="0" w:color="auto"/>
        <w:right w:val="none" w:sz="0" w:space="0" w:color="auto"/>
      </w:divBdr>
    </w:div>
    <w:div w:id="564990629">
      <w:bodyDiv w:val="1"/>
      <w:marLeft w:val="0"/>
      <w:marRight w:val="0"/>
      <w:marTop w:val="0"/>
      <w:marBottom w:val="0"/>
      <w:divBdr>
        <w:top w:val="none" w:sz="0" w:space="0" w:color="auto"/>
        <w:left w:val="none" w:sz="0" w:space="0" w:color="auto"/>
        <w:bottom w:val="none" w:sz="0" w:space="0" w:color="auto"/>
        <w:right w:val="none" w:sz="0" w:space="0" w:color="auto"/>
      </w:divBdr>
    </w:div>
    <w:div w:id="565264221">
      <w:bodyDiv w:val="1"/>
      <w:marLeft w:val="0"/>
      <w:marRight w:val="0"/>
      <w:marTop w:val="0"/>
      <w:marBottom w:val="0"/>
      <w:divBdr>
        <w:top w:val="none" w:sz="0" w:space="0" w:color="auto"/>
        <w:left w:val="none" w:sz="0" w:space="0" w:color="auto"/>
        <w:bottom w:val="none" w:sz="0" w:space="0" w:color="auto"/>
        <w:right w:val="none" w:sz="0" w:space="0" w:color="auto"/>
      </w:divBdr>
    </w:div>
    <w:div w:id="569928805">
      <w:bodyDiv w:val="1"/>
      <w:marLeft w:val="0"/>
      <w:marRight w:val="0"/>
      <w:marTop w:val="0"/>
      <w:marBottom w:val="0"/>
      <w:divBdr>
        <w:top w:val="none" w:sz="0" w:space="0" w:color="auto"/>
        <w:left w:val="none" w:sz="0" w:space="0" w:color="auto"/>
        <w:bottom w:val="none" w:sz="0" w:space="0" w:color="auto"/>
        <w:right w:val="none" w:sz="0" w:space="0" w:color="auto"/>
      </w:divBdr>
      <w:divsChild>
        <w:div w:id="11162181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1988589">
      <w:bodyDiv w:val="1"/>
      <w:marLeft w:val="0"/>
      <w:marRight w:val="0"/>
      <w:marTop w:val="0"/>
      <w:marBottom w:val="0"/>
      <w:divBdr>
        <w:top w:val="none" w:sz="0" w:space="0" w:color="auto"/>
        <w:left w:val="none" w:sz="0" w:space="0" w:color="auto"/>
        <w:bottom w:val="none" w:sz="0" w:space="0" w:color="auto"/>
        <w:right w:val="none" w:sz="0" w:space="0" w:color="auto"/>
      </w:divBdr>
    </w:div>
    <w:div w:id="800004530">
      <w:bodyDiv w:val="1"/>
      <w:marLeft w:val="0"/>
      <w:marRight w:val="0"/>
      <w:marTop w:val="0"/>
      <w:marBottom w:val="0"/>
      <w:divBdr>
        <w:top w:val="none" w:sz="0" w:space="0" w:color="auto"/>
        <w:left w:val="none" w:sz="0" w:space="0" w:color="auto"/>
        <w:bottom w:val="none" w:sz="0" w:space="0" w:color="auto"/>
        <w:right w:val="none" w:sz="0" w:space="0" w:color="auto"/>
      </w:divBdr>
      <w:divsChild>
        <w:div w:id="10240882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7823877">
      <w:bodyDiv w:val="1"/>
      <w:marLeft w:val="0"/>
      <w:marRight w:val="0"/>
      <w:marTop w:val="0"/>
      <w:marBottom w:val="0"/>
      <w:divBdr>
        <w:top w:val="none" w:sz="0" w:space="0" w:color="auto"/>
        <w:left w:val="none" w:sz="0" w:space="0" w:color="auto"/>
        <w:bottom w:val="none" w:sz="0" w:space="0" w:color="auto"/>
        <w:right w:val="none" w:sz="0" w:space="0" w:color="auto"/>
      </w:divBdr>
    </w:div>
    <w:div w:id="1121144095">
      <w:bodyDiv w:val="1"/>
      <w:marLeft w:val="0"/>
      <w:marRight w:val="0"/>
      <w:marTop w:val="0"/>
      <w:marBottom w:val="0"/>
      <w:divBdr>
        <w:top w:val="none" w:sz="0" w:space="0" w:color="auto"/>
        <w:left w:val="none" w:sz="0" w:space="0" w:color="auto"/>
        <w:bottom w:val="none" w:sz="0" w:space="0" w:color="auto"/>
        <w:right w:val="none" w:sz="0" w:space="0" w:color="auto"/>
      </w:divBdr>
    </w:div>
    <w:div w:id="1411656820">
      <w:bodyDiv w:val="1"/>
      <w:marLeft w:val="0"/>
      <w:marRight w:val="0"/>
      <w:marTop w:val="0"/>
      <w:marBottom w:val="0"/>
      <w:divBdr>
        <w:top w:val="none" w:sz="0" w:space="0" w:color="auto"/>
        <w:left w:val="none" w:sz="0" w:space="0" w:color="auto"/>
        <w:bottom w:val="none" w:sz="0" w:space="0" w:color="auto"/>
        <w:right w:val="none" w:sz="0" w:space="0" w:color="auto"/>
      </w:divBdr>
    </w:div>
    <w:div w:id="1731534862">
      <w:bodyDiv w:val="1"/>
      <w:marLeft w:val="0"/>
      <w:marRight w:val="0"/>
      <w:marTop w:val="0"/>
      <w:marBottom w:val="0"/>
      <w:divBdr>
        <w:top w:val="none" w:sz="0" w:space="0" w:color="auto"/>
        <w:left w:val="none" w:sz="0" w:space="0" w:color="auto"/>
        <w:bottom w:val="none" w:sz="0" w:space="0" w:color="auto"/>
        <w:right w:val="none" w:sz="0" w:space="0" w:color="auto"/>
      </w:divBdr>
    </w:div>
    <w:div w:id="1778407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254d62e4-d042-45af-bac3-be1eaf61e90f"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017B833D07CD96449EB6ED4C26C1F02E" ma:contentTypeVersion="6" ma:contentTypeDescription="Crear nuevo documento." ma:contentTypeScope="" ma:versionID="1af3b7a1e84fdea6a0a21a449c1a9457">
  <xsd:schema xmlns:xsd="http://www.w3.org/2001/XMLSchema" xmlns:xs="http://www.w3.org/2001/XMLSchema" xmlns:p="http://schemas.microsoft.com/office/2006/metadata/properties" xmlns:ns3="254d62e4-d042-45af-bac3-be1eaf61e90f" targetNamespace="http://schemas.microsoft.com/office/2006/metadata/properties" ma:root="true" ma:fieldsID="ec3036ebc775c4397b202f80351a56d8" ns3:_="">
    <xsd:import namespace="254d62e4-d042-45af-bac3-be1eaf61e90f"/>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4d62e4-d042-45af-bac3-be1eaf61e9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E23209-2DDA-418E-9A8B-3F870B7D24E6}">
  <ds:schemaRefs>
    <ds:schemaRef ds:uri="http://schemas.microsoft.com/sharepoint/v3/contenttype/forms"/>
  </ds:schemaRefs>
</ds:datastoreItem>
</file>

<file path=customXml/itemProps2.xml><?xml version="1.0" encoding="utf-8"?>
<ds:datastoreItem xmlns:ds="http://schemas.openxmlformats.org/officeDocument/2006/customXml" ds:itemID="{63BBE9B8-810C-46C1-9948-1ED93571A6D4}">
  <ds:schemaRefs>
    <ds:schemaRef ds:uri="http://schemas.microsoft.com/office/2006/metadata/properties"/>
    <ds:schemaRef ds:uri="http://schemas.microsoft.com/office/infopath/2007/PartnerControls"/>
    <ds:schemaRef ds:uri="254d62e4-d042-45af-bac3-be1eaf61e90f"/>
  </ds:schemaRefs>
</ds:datastoreItem>
</file>

<file path=customXml/itemProps3.xml><?xml version="1.0" encoding="utf-8"?>
<ds:datastoreItem xmlns:ds="http://schemas.openxmlformats.org/officeDocument/2006/customXml" ds:itemID="{4FB80E7A-1D35-4F08-BE8E-91C85F2BF1B5}">
  <ds:schemaRefs>
    <ds:schemaRef ds:uri="http://schemas.openxmlformats.org/officeDocument/2006/bibliography"/>
  </ds:schemaRefs>
</ds:datastoreItem>
</file>

<file path=customXml/itemProps4.xml><?xml version="1.0" encoding="utf-8"?>
<ds:datastoreItem xmlns:ds="http://schemas.openxmlformats.org/officeDocument/2006/customXml" ds:itemID="{977B5AB1-CE2E-48D5-B842-E21150B6B6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4d62e4-d042-45af-bac3-be1eaf61e9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998</Words>
  <Characters>5489</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manuel C. Mejan</dc:creator>
  <cp:keywords/>
  <dc:description/>
  <cp:lastModifiedBy>Bitmedia</cp:lastModifiedBy>
  <cp:revision>4</cp:revision>
  <dcterms:created xsi:type="dcterms:W3CDTF">2025-07-08T13:33:00Z</dcterms:created>
  <dcterms:modified xsi:type="dcterms:W3CDTF">2025-07-18T23:03:00Z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0x010100017B833D07CD96449EB6ED4C26C1F02E</vt:lpwstr>
  </property>
</Properties>
</file>